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Trollhättan kommunfullmäktige</w:t>
      </w:r>
    </w:p>
    <w:p>
      <w:pPr>
        <w:pStyle w:val="Heading1"/>
      </w:pPr>
      <w:r>
        <w:t xml:space="preserve">Granska kommunens utgifter för att prioritera välfärd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Trollhättan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Trollhättans budget 2025 visar ökade kostnader för externa konsulter. Kristdemokraterna vill att varje krona går till vård, skola och omsorg istället för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Trollhättan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konsultkostnader 2024–2026.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redovisas med förslag på besparingar senast mars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besparingar återförs till kärnverksamheterna inom social- och utbildningsnämnderna.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behandlas i kommunfullmäktige under 2027.</w:t>
      </w:r>
    </w:p>
    <w:p>
      <w:pPr>
        <w:spacing w:before="360"/>
      </w:pPr>
    </w:p>
    <w:p>
      <w:r>
        <w:t xml:space="preserve">Trollhättan,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Trollhättan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2026-07-14T01:37:58.104Z</dcterms:created>
  <dcterms:modified xsi:type="dcterms:W3CDTF">2026-07-14T01:37:58.104Z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