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Trollhättan kommunfullmäktige</w:t>
      </w:r>
    </w:p>
    <w:p>
      <w:pPr>
        <w:pStyle w:val="Heading1"/>
      </w:pPr>
      <w:r>
        <w:t xml:space="preserve">Säkra service och skola på landsbygden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Kristdemokraterna i Trollhättan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Byarna Upphärad och Sjuntorp har minskande befolkning. Kollektivtrafik och skola är avgörande för att behålla service enligt Trafikverkets rapport 2025. Kristdemokraterna vill värna hela kommunen.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Kristdemokraterna i Trollhättan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garantera fortsatt drift av grundskolor i Upphärad och Sjuntorp.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kollektivtrafik till landsbygden utökas med minst två avgångar per dag.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äldreboende på landsbygden prioriteras vid nybyggnation.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en landsbygdsstrategi antas senast 2027.</w:t>
      </w:r>
    </w:p>
    <w:p>
      <w:pPr>
        <w:spacing w:before="360"/>
      </w:pPr>
    </w:p>
    <w:p>
      <w:r>
        <w:t xml:space="preserve">Trollhättan,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Kristdemokraterna i Trollhättan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2026-07-14T01:37:58.096Z</dcterms:created>
  <dcterms:modified xsi:type="dcterms:W3CDTF">2026-07-14T01:37:58.096Z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