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Tranemo kommunfullmäktige</w:t>
      </w:r>
    </w:p>
    <w:p>
      <w:pPr>
        <w:pStyle w:val="Heading1"/>
      </w:pPr>
      <w:r>
        <w:t xml:space="preserve">Öka stödet till civilsamhället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Tranemo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Tranemo har minskat bidrag med 15 % sedan 2020. Kyrkor och idrottsföreningar utför viktigt integrations- och ungdomsarbete.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Tranemo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föreningsbidraget med 400 000 kr årligen.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ett särskilt bidrag för verksamhet som främjar integration.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gratis lokaler för ideella organisationer.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tillsätta en samordnare för civilsamhällesdialog.</w:t>
      </w:r>
    </w:p>
    <w:p>
      <w:pPr>
        <w:spacing w:before="360"/>
      </w:pPr>
    </w:p>
    <w:p>
      <w:r>
        <w:t xml:space="preserve">Tranemo,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Tranemo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2026-07-14T01:36:10.209Z</dcterms:created>
  <dcterms:modified xsi:type="dcterms:W3CDTF">2026-07-14T01:36:10.209Z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