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Tidaholm kommunfullmäktige</w:t>
      </w:r>
    </w:p>
    <w:p>
      <w:pPr>
        <w:pStyle w:val="Heading1"/>
      </w:pPr>
      <w:r>
        <w:t xml:space="preserve">Oberoende granskning av kommunal ekonomi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Tidaholm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Tidaholms kommun har haft ökade kostnader för administration. Kristdemokraterna vill säkerställa att välfärden prioriteras före symbolprojekt och att skattepengar används effektivt.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Tidaholm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tillsätta en oberoende granskning av kommunens administrativa kostnader.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granskningen ska omfatta åren 2023–2025 och presenteras senast mars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fokus ska ligga på att identifiera besparingar som kan gå till vård, skola och omsorg.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behandlas i kommunfullmäktige med förslag till åtgärder.</w:t>
      </w:r>
    </w:p>
    <w:p>
      <w:pPr>
        <w:spacing w:before="360"/>
      </w:pPr>
    </w:p>
    <w:p>
      <w:r>
        <w:t xml:space="preserve">Tidaholm,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Tidaholm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2026-07-14T01:32:12.100Z</dcterms:created>
  <dcterms:modified xsi:type="dcterms:W3CDTF">2026-07-14T01:32:12.100Z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