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Svenljunga kommunfullmäktige</w:t>
      </w:r>
    </w:p>
    <w:p>
      <w:pPr>
        <w:pStyle w:val="Heading1"/>
      </w:pPr>
      <w:r>
        <w:t xml:space="preserve">Etablera familjecentral i Svenljunga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Svenljunga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Familjer i kommunen saknar samlad stödverksamhet. Föräldrautbildning och tidigt stöd stärker barnkonventionen och förebygger problem. Liknande centra i grannkommuner har visat goda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Svenljunga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Svenljunga kommunfullmäktige beslutar att inrätta en familjecentral i centralorten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samlokaliseras med MVC och BVC.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öppen förskola och föräldragrupper erbjuds kostnadsfritt.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kyrkor och föreningar formaliseras.</w:t>
      </w:r>
    </w:p>
    <w:p>
      <w:pPr>
        <w:spacing w:before="360"/>
      </w:pPr>
    </w:p>
    <w:p>
      <w:r>
        <w:t xml:space="preserve">Svenljunga,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Svenljunga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2026-07-14T01:27:18.808Z</dcterms:created>
  <dcterms:modified xsi:type="dcterms:W3CDTF">2026-07-14T01:27:18.808Z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