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Stenungsund kommunfullmäktige</w:t>
      </w:r>
    </w:p>
    <w:p>
      <w:pPr>
        <w:pStyle w:val="Heading1"/>
      </w:pPr>
      <w:r>
        <w:t xml:space="preserve">Granskning av administrativa kostnader i välfärden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Stenungsund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Stenungsunds administrativa kostnader inom social- och utbildningsförvaltningen har ökat enligt revisionsrapport 2025. Kristdemokraterna vill säkerställa att mer pengar går till direkt välfärd istället för administration.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Stenungsund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uppdrar åt revisionen att granska administrativa kostnader inom social- och utbildningsnämnderna.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rapport med förslag på besparingar presenteras senast 2027-06-30.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eventuella frigjorda medel ska återföras till hemtjänst och skola.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behandlas i kommunfullmäktige under hösten 2027.</w:t>
      </w:r>
    </w:p>
    <w:p>
      <w:pPr>
        <w:spacing w:before="360"/>
      </w:pPr>
    </w:p>
    <w:p>
      <w:r>
        <w:t xml:space="preserve">Stenungsund,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Stenungsund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2026-07-14T01:20:51.496Z</dcterms:created>
  <dcterms:modified xsi:type="dcterms:W3CDTF">2026-07-14T01:20:51.496Z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