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Sotenäs kommunfullmäktige</w:t>
      </w:r>
    </w:p>
    <w:p>
      <w:pPr>
        <w:pStyle w:val="Heading1"/>
      </w:pPr>
      <w:r>
        <w:t xml:space="preserve">Landsbygdsservicegaranti för äldre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Sotenäs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Service och kollektivtrafik på landsbygden i Sotenäs är otillräcklig (Trafikverket/Kommunen 2025). Äldre riskerar isolering.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Sotenäs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en servicegaranti med minst två veckovisa serviceresor till Kungshamn.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hemtjänst ska kunna garantera besök inom 30 minuter på landsbygden.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digitala lösningar kompletterar fysisk service.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i kommunstyrelsen varje halvår.</w:t>
      </w:r>
    </w:p>
    <w:p>
      <w:pPr>
        <w:spacing w:before="360"/>
      </w:pPr>
    </w:p>
    <w:p>
      <w:r>
        <w:t xml:space="preserve">Sotenäs,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Sotenäs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2026-07-14T01:19:55.608Z</dcterms:created>
  <dcterms:modified xsi:type="dcterms:W3CDTF">2026-07-14T01:19:55.608Z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