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Partille kommunfullmäktige</w:t>
      </w:r>
    </w:p>
    <w:p>
      <w:pPr>
        <w:pStyle w:val="Heading1"/>
      </w:pPr>
      <w:r>
        <w:t xml:space="preserve">Införa mobilfria skoldagar i Partilles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Partille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Partilleskolor. Enligt Skolverkets rapport 2024 minskar mobilanvändning under lektionstid studieresultat och ökar tryggheten. Flera kommuner har infört liknande regler med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Partille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uppdatera ordningsreglerna så att mobiltelefoner lämnas in under skoldagen.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lärarna fortbildning i digitala verktyg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meritvärden och trygghet efter ett läsår.</w:t>
      </w:r>
    </w:p>
    <w:p>
      <w:pPr>
        <w:spacing w:before="360"/>
      </w:pPr>
    </w:p>
    <w:p>
      <w:r>
        <w:t xml:space="preserve">Partille,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Partille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2026-07-14T01:07:40.276Z</dcterms:created>
  <dcterms:modified xsi:type="dcterms:W3CDTF">2026-07-14T01:07:40.276Z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