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Öckerö kommunfullmäktige</w:t>
      </w:r>
    </w:p>
    <w:p>
      <w:pPr>
        <w:pStyle w:val="Heading1"/>
      </w:pPr>
      <w:r>
        <w:t xml:space="preserve">Språk- och arbetsintegrationsprogram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Öckerö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41 % av utrikes födda i Öckerö har etablerats på arbetsmarknaden inom två år (Arbetsförmedlingen 2024). Språkbrist är det största hindret.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Öckerö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intensivkurser i svenska med arbetslivsinriktning.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uppdrar åt arbetsmarknadsenheten att erbjuda praktikplatser hos lokala företag.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medel för språkcaféer i samverkan med församlingarna.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följer upp etableringsgraden årligen.</w:t>
      </w:r>
    </w:p>
    <w:p>
      <w:pPr>
        <w:spacing w:before="360"/>
      </w:pPr>
    </w:p>
    <w:p>
      <w:r>
        <w:t xml:space="preserve">Öckerö,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Öckerö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2026-07-14T02:04:30.840Z</dcterms:created>
  <dcterms:modified xsi:type="dcterms:W3CDTF">2026-07-14T02:04:30.840Z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