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Mölndal kommunfullmäktige</w:t>
      </w:r>
    </w:p>
    <w:p>
      <w:pPr>
        <w:pStyle w:val="Heading1"/>
      </w:pPr>
      <w:r>
        <w:t xml:space="preserve">Inför familjecentraler i Mölndal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Mölndal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Mölndal saknar samlade familjecentraler trots växande barnfamiljer. Enligt kommunens egen befolkningsprognos ökar antalet barn 0–6 år med 8 % fram till 2030. Tidigt föräldrastöd minskar senare insatser enligt Socialstyrelsen. Kristdemokraterna vill erbjuda föräldrautbildning och öppen förskola på flera platser.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Mölndal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minst två familjecentraler i Mölndal med start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familjecentralerna placeras i områden med högst andel barnfamiljer enligt befolkningsstatistik.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inkluderar föräldrautbildning och öppen förskola i samverkan med regionen.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verksamheten redovisas för kommunfullmäktige senast 2028.</w:t>
      </w:r>
    </w:p>
    <w:p>
      <w:pPr>
        <w:spacing w:before="360"/>
      </w:pPr>
    </w:p>
    <w:p>
      <w:r>
        <w:t xml:space="preserve">Mölndal,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Mölndal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2026-07-14T00:53:05.009Z</dcterms:created>
  <dcterms:modified xsi:type="dcterms:W3CDTF">2026-07-14T00:53:05.009Z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