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Lerum kommunfullmäktige</w:t>
      </w:r>
    </w:p>
    <w:p>
      <w:pPr>
        <w:pStyle w:val="Heading1"/>
      </w:pPr>
      <w:r>
        <w:t xml:space="preserve">Granska kommunens utgifter för symbolprojekt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Kristdemokraterna i Lerum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Lerums budget 2025 visar ökade kostnader för vissa profilprojekt medan välfärden pressas. KD vill prioritera kärnverksamhet enligt partiets ekonomiska politik.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Kristdemokraterna i Lerum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tillsätter en extern granskning av kommunens investeringar 2023–2025.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granskningen ska fokusera på kostnadseffektivitet och nytta för invånarna.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resultatet ska presenteras senast juni 2027.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eventuella besparingar ska återföras till äldreomsorg och skola.</w:t>
      </w:r>
    </w:p>
    <w:p>
      <w:pPr>
        <w:spacing w:before="360"/>
      </w:pPr>
    </w:p>
    <w:p>
      <w:r>
        <w:t xml:space="preserve">Lerum,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Kristdemokraterna i Lerum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2026-07-14T00:37:33.546Z</dcterms:created>
  <dcterms:modified xsi:type="dcterms:W3CDTF">2026-07-14T00:37:33.546Z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