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Herrljunga kommunfullmäktige</w:t>
      </w:r>
    </w:p>
    <w:p>
      <w:pPr>
        <w:pStyle w:val="Heading1"/>
      </w:pPr>
      <w:r>
        <w:t xml:space="preserve">Mobilförbud under lektionstid i kommunens 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Herrljunga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Skolinspektionen 2024 noterade störningar från mobiltelefoner i Herrljunga skola. Studiero och kunskapsresultat (merit 225) påverkas negativt. Flera kommuner har infört förbud med goda resultat.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Herrljunga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Herrljunga kommunfullmäktige beslutar om mobilförbud under all undervisning i grundskolan.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skolan tillhandahåller låsbara förvaringsutrymmen.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lärarna får stöd i policyimplementering via fortbildning.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utvärdering sker läsåret 2026/2027 med elev- och föräldraenkät.</w:t>
      </w:r>
    </w:p>
    <w:p>
      <w:pPr>
        <w:spacing w:before="360"/>
      </w:pPr>
    </w:p>
    <w:p>
      <w:r>
        <w:t xml:space="preserve">Herrljunga,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Herrljunga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2026-07-14T00:10:52.965Z</dcterms:created>
  <dcterms:modified xsi:type="dcterms:W3CDTF">2026-07-14T00:10:52.965Z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