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Gullspång kommunfullmäktige</w:t>
      </w:r>
    </w:p>
    <w:p>
      <w:pPr>
        <w:pStyle w:val="Heading1"/>
      </w:pPr>
      <w:r>
        <w:t xml:space="preserve">Språk- och arbetsintegrationsprogram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Gullspång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utrikes födda i Gullspång är 14 % och sysselsättningsgraden lägre än genomsnittet (SCB 2024). Språkbrist är största hindret enligt kommunens integrationsenhet.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Gullspång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införa ett kombinerat språk- och arbetspraktikprogram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programmet drivs i samverkan med Arbetsförmedlingen och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deltagarna erbjuds minst 20 timmars praktik per månad.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med sysselsättningsstatistik efter 18 månader.</w:t>
      </w:r>
    </w:p>
    <w:p>
      <w:pPr>
        <w:spacing w:before="360"/>
      </w:pPr>
    </w:p>
    <w:p>
      <w:r>
        <w:t xml:space="preserve">Gullspång,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Gullspång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2026-07-14T00:01:06.315Z</dcterms:created>
  <dcterms:modified xsi:type="dcterms:W3CDTF">2026-07-14T00:01:06.315Z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