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Götene kommunfullmäktige</w:t>
      </w:r>
    </w:p>
    <w:p>
      <w:pPr>
        <w:pStyle w:val="Heading1"/>
      </w:pPr>
      <w:r>
        <w:t xml:space="preserve">Granska kommunens ekonomiska slöseri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Götene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Götenes budget 2025 visar ökade kostnader för externa konsulter och projekt som inte ger direkt välfärdseffekt. Kristdemokraterna vill prioritera kärnverksamhet.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Götene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tillsätta en oberoende granskning av kommunens konsultkostnader 2023–2025.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granskningen ska omfatta alla nämnder och bolag.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resultatet ska presenteras för kommunfullmäktige senast mars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eventuella besparingar ska återföras till äldreomsorg och skola.</w:t>
      </w:r>
    </w:p>
    <w:p>
      <w:pPr>
        <w:spacing w:before="360"/>
      </w:pPr>
    </w:p>
    <w:p>
      <w:r>
        <w:t xml:space="preserve">Götene,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Götene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2026-07-14T00:03:47.766Z</dcterms:created>
  <dcterms:modified xsi:type="dcterms:W3CDTF">2026-07-14T00:03:47.766Z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