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Falköping kommunfullmäktige</w:t>
      </w:r>
    </w:p>
    <w:p>
      <w:pPr>
        <w:pStyle w:val="Heading1"/>
      </w:pPr>
      <w:r>
        <w:t xml:space="preserve">Förstärkt ungdomsmottagning för psykisk hälsa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Falköping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Antalet besök på ungdomsmottagningen i Falköping har ökat med 35 % sedan 2022. Väntetiderna är långa och många unga hänvisas till Skövde.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Falköping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utöka ungdomsmottagningens öppettider med två kvällar per vecka.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psykologresurs anställs på deltid i samverkan med regionen.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mottagningen ska ha drop-in-tider för akuta ärenden.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rapport om ungdomars psykiska hälsa lämnas till fullmäktige.</w:t>
      </w:r>
    </w:p>
    <w:p>
      <w:pPr>
        <w:spacing w:before="360"/>
      </w:pPr>
    </w:p>
    <w:p>
      <w:r>
        <w:t xml:space="preserve">Falköping,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Falköping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2026-07-13T23:53:19.334Z</dcterms:created>
  <dcterms:modified xsi:type="dcterms:W3CDTF">2026-07-13T23:53:19.334Z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