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Essunga kommunfullmäktige</w:t>
      </w:r>
    </w:p>
    <w:p>
      <w:pPr>
        <w:pStyle w:val="Heading1"/>
      </w:pPr>
      <w:r>
        <w:t xml:space="preserve">Etablering av familjecentral i Nossebro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Essunga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Essunga saknar samlad familjecentral vilket försvårar tidigt föräldrastöd. Enligt kommunens egen befolkningsprognos ökar andelen barnfamiljer. En familjecentral stärker det förebyggande arbetet i linje med barnkonventionen.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Essunga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Essunga kommunfullmäktige beslutar att utreda förutsättningarna för en familjecentral i Nossebro.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regionen och civilsamhället prioriteras i utredningen.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förstudie presenteras för socialnämnden senast mars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eventuell etablering ska vara kostnadsneutral genom omfördelning inom befintlig budget.</w:t>
      </w:r>
    </w:p>
    <w:p>
      <w:pPr>
        <w:spacing w:before="360"/>
      </w:pPr>
    </w:p>
    <w:p>
      <w:r>
        <w:t xml:space="preserve">Essunga,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Essunga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2026-07-13T23:51:47.236Z</dcterms:created>
  <dcterms:modified xsi:type="dcterms:W3CDTF">2026-07-13T23:51:47.236Z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