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Bengtsfors kommunfullmäktige</w:t>
      </w:r>
    </w:p>
    <w:p>
      <w:pPr>
        <w:pStyle w:val="Heading1"/>
      </w:pPr>
      <w:r>
        <w:t xml:space="preserve">Stärk integrationsarbete med språk och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Bengtsfors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integrationsrapport 2024 visar att 35 % av nyanlända saknar sysselsättning efter två år. Språkbrist är största hindret. Civilsamhället kan bidra med praktikplatser.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Bengtsfors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ett språkcafé i samverkan med studieförbund och kyrkor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hos kommunala bolag och föreningar erbjuds alla nyanlända inom 6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SFI-undervisningen utökas med yrkesinriktade moduler.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integrationsenheten redovisar sysselsättningsgrad kvartalsvis.</w:t>
      </w:r>
    </w:p>
    <w:p>
      <w:pPr>
        <w:spacing w:before="360"/>
      </w:pPr>
    </w:p>
    <w:p>
      <w:r>
        <w:t xml:space="preserve">Bengtsfors,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Bengtsfors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2026-07-13T23:36:20.934Z</dcterms:created>
  <dcterms:modified xsi:type="dcterms:W3CDTF">2026-07-13T23:36:20.934Z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