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Åmål kommunfullmäktige</w:t>
      </w:r>
    </w:p>
    <w:p>
      <w:pPr>
        <w:pStyle w:val="Heading1"/>
      </w:pPr>
      <w:r>
        <w:t xml:space="preserve">Oberoende granskning av kommunens utgifter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Åmål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Åmåls budget 2025 visar ökade kostnader för administration. Ansvarsfull ekonomi kräver granskning av slöseri innan välfärden påverkas. KD prioriterar välfärd före symbolpolitik.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Åmål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tillsätta en oberoende granskning av kommunens utgifter 2025–2026.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granskningen särskilt ser över administrativa kostnader och projekt.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resultatet presenteras för kommunfullmäktige senast juni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eventuella besparingar återförs till kärnverksamheter som skola och omsorg.</w:t>
      </w:r>
    </w:p>
    <w:p>
      <w:pPr>
        <w:spacing w:before="360"/>
      </w:pPr>
    </w:p>
    <w:p>
      <w:r>
        <w:t xml:space="preserve">Åmål,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Åmål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2026-07-14T01:57:56.790Z</dcterms:created>
  <dcterms:modified xsi:type="dcterms:W3CDTF">2026-07-14T01:57:56.790Z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