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Sala kommunfullmäktige</w:t>
      </w:r>
    </w:p>
    <w:p>
      <w:pPr>
        <w:pStyle w:val="Heading1"/>
      </w:pPr>
      <w:r>
        <w:t xml:space="preserve">Införande av familjecentral i Sala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Sala saknar samlad familjecentral trots ökande behov av tidigt föräldrastöd. Kolada visar högre andel barn med psykisk ohälsa än riksgenomsnittet. En familjecentral stärker barnkonventionen och förebygger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Sala kommunfullmäktige beslutar att inrätta en familjecentral i centrala Sala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Sala kommunfullmäktige beslutar att samlokalisera MVC, BVC och öppen förskola under ett tak.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Sala kommunfullmäktige beslutar att erbjuda föräldrautbildning i grupp minst 8 gånger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Sala kommunfullmäktige beslutar att avsätta 800 000 kr årligen för drift av familjecentralen.</w:t>
      </w:r>
    </w:p>
    <w:p>
      <w:pPr>
        <w:spacing w:before="360"/>
      </w:pPr>
    </w:p>
    <w:p>
      <w:r>
        <w:t xml:space="preserve">Sala,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2026-07-14T01:11:25.322Z</dcterms:created>
  <dcterms:modified xsi:type="dcterms:W3CDTF">2026-07-14T01:11:25.322Z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