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Kungsör kommunfullmäktige</w:t>
      </w:r>
    </w:p>
    <w:p>
      <w:pPr>
        <w:pStyle w:val="Heading1"/>
      </w:pPr>
      <w:r>
        <w:t xml:space="preserve">Öka stödet till idrotts- och kulturföreningar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Kungsör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Föreningslivet i Kungsör är en viktig del av civilsamhället men har begränsade resurser. Ökat stöd stärker integration, ungdomsverksamhet och folkhälsa. Kristdemokraterna ser föreningarna som en naturlig samarbetspartner för kommunens välfärdsmål.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Kungsör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höjer föreningsbidraget med 10 %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ett särskilt integrationsbidrag införs för föreningar som bedriver verksamhet för nyanlända.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bidragsreglerna förenklas och handläggningstiden kortas.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redovisning av bidragens effekter lämnas till kommunfullmäktige.</w:t>
      </w:r>
    </w:p>
    <w:p>
      <w:pPr>
        <w:spacing w:before="360"/>
      </w:pPr>
    </w:p>
    <w:p>
      <w:r>
        <w:t xml:space="preserve">Kungsör,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Kungsör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2026-07-14T00:32:22.210Z</dcterms:created>
  <dcterms:modified xsi:type="dcterms:W3CDTF">2026-07-14T00:32:22.210Z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