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Kungsör kommunfullmäktige</w:t>
      </w:r>
    </w:p>
    <w:p>
      <w:pPr>
        <w:pStyle w:val="Heading1"/>
      </w:pPr>
      <w:r>
        <w:t xml:space="preserve">Införa obligatorisk språk- och samhällsintroduktion för nyanlända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Kungsör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Arbetsförmedlingens statistik 2025 visar att endast 48 % av utrikes födda i Kungsör är i arbete eller studier. Språkkunskaper och samhällsorientering är nycklar till integration. En strukturerad introduktion ökar chansen till egen försörjning och delaktighet.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Kungsör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obligatorisk samhälls- och språkintroduktion för alla nyanlända inom 30 dagar efter bosättning.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utbildningen ska omfatta minst 150 timmar och innehålla svenska, arbetsmarknadskunskap och demokratiska värderingar.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deltagande kopplas till försörjningsstöd enligt befintliga regler.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resultatet redovisas årligen med fokus på övergång till arbete eller studier.</w:t>
      </w:r>
    </w:p>
    <w:p>
      <w:pPr>
        <w:spacing w:before="360"/>
      </w:pPr>
    </w:p>
    <w:p>
      <w:r>
        <w:t xml:space="preserve">Kungsör,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Kungsör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2026-07-14T00:32:22.193Z</dcterms:created>
  <dcterms:modified xsi:type="dcterms:W3CDTF">2026-07-14T00:32:22.193Z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