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Arboga kommunfullmäktige</w:t>
      </w:r>
    </w:p>
    <w:p>
      <w:pPr>
        <w:pStyle w:val="Heading1"/>
      </w:pPr>
      <w:r>
        <w:t xml:space="preserve">Inrätta språkcaféer för integration och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Arboga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Arboga kommuns integrationsrapport 2025 visar att 42 % av nyanlända saknar grundläggande svenska efter två år. Arbete och språk är nycklar till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Arboga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språkcaféer i samverkan med studieförbund och kyrkor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caféerna ska erbjuda minst 10 timmar per vecka med fokus på vardagssvenska och arbetsmarknad.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deltagande kopplas till etableringsprogrammet.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årligen av integrationsenheten.</w:t>
      </w:r>
    </w:p>
    <w:p>
      <w:pPr>
        <w:spacing w:before="360"/>
      </w:pPr>
    </w:p>
    <w:p>
      <w:r>
        <w:t xml:space="preserve">Arboga,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Arboga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2026-07-13T23:32:12.202Z</dcterms:created>
  <dcterms:modified xsi:type="dcterms:W3CDTF">2026-07-13T23:32:12.202Z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