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Arboga kommunfullmäktige</w:t>
      </w:r>
    </w:p>
    <w:p>
      <w:pPr>
        <w:pStyle w:val="Heading1"/>
      </w:pPr>
      <w:r>
        <w:t xml:space="preserve">Införa mobilförbud under lektionstid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Arboga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2024 påpekar bristande studiero i Arboga skolor. Mobilanvändning stör undervisning enligt lärarenkäter. Riksdagens beslut om mobilförbud ger kommunalt handlingsutrymme.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Arboga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mobilförbud under all lektionstid i kommunens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ska tillhandahålla skåp eller inlämning för mobiltelefoner.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rektorerna ges ansvar för uppföljning och att resultat redovisas i kvalitetsrapporten.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undantag medges endast vid medicinska skäl eller särskilda behov.</w:t>
      </w:r>
    </w:p>
    <w:p>
      <w:pPr>
        <w:spacing w:before="360"/>
      </w:pPr>
    </w:p>
    <w:p>
      <w:r>
        <w:t xml:space="preserve">Arboga,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Arboga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2026-07-13T23:32:12.133Z</dcterms:created>
  <dcterms:modified xsi:type="dcterms:W3CDTF">2026-07-13T23:32:12.133Z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