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Timrå kommunfullmäktige</w:t>
      </w:r>
    </w:p>
    <w:p>
      <w:pPr>
        <w:pStyle w:val="Heading1"/>
      </w:pPr>
      <w:r>
        <w:t xml:space="preserve">Granskning av kommunal ekonomi och slöseri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Timrå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Timrås ekonomi är ansträngd med stigande kostnader (kommunens årsredovisning 2024). Välfärd ska gå före symbolprojekt.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Timrå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tillsätta en oberoende granskning av kommunens utgifter 2025–2026.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prioritera kärnverksamhet som skola och omsorg i budgetarbetet.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redovisa alla kostnader över 500 000 kr som inte är lagstadgade.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införa årlig effektiviseringsrapport till fullmäktige.</w:t>
      </w:r>
    </w:p>
    <w:p>
      <w:pPr>
        <w:spacing w:before="360"/>
      </w:pPr>
    </w:p>
    <w:p>
      <w:r>
        <w:t xml:space="preserve">Timrå,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Timrå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2026-07-14T01:33:09.210Z</dcterms:created>
  <dcterms:modified xsi:type="dcterms:W3CDTF">2026-07-14T01:33:09.210Z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