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Sollefteå kommunfullmäktige</w:t>
      </w:r>
    </w:p>
    <w:p>
      <w:pPr>
        <w:pStyle w:val="Heading1"/>
      </w:pPr>
      <w:r>
        <w:t xml:space="preserve">Införa mobilförbud under lektionstid i grundskolan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Sollefteå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Enligt Skolverket 2025 har mobilanvändning under lektioner negativ effekt på studiero. Sollefteås skolor ligger under rikssnittet i meritvärde (Kolada).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Sollefteå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Sollefteå kommunfullmäktige beslutar att införa mobilförbud under all undervisningstid i kommunens grundskolor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Sollefteå kommunfullmäktige beslutar att skolorna ska tillhandahålla låsta skåp för elevers mobiltelefoner.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Sollefteå kommunfullmäktige beslutar att uppdatera ordningsregler och föräldrainformation om mobilförbudet.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Sollefteå kommunfullmäktige beslutar att följa upp effekterna på studiero och kunskapsresultat efter ett år.</w:t>
      </w:r>
    </w:p>
    <w:p>
      <w:pPr>
        <w:spacing w:before="360"/>
      </w:pPr>
    </w:p>
    <w:p>
      <w:r>
        <w:t xml:space="preserve">Sollefteå,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Sollefteå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2026-07-14T01:18:04.527Z</dcterms:created>
  <dcterms:modified xsi:type="dcterms:W3CDTF">2026-07-14T01:18:04.527Z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