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Kramfors kommunfullmäktige</w:t>
      </w:r>
    </w:p>
    <w:p>
      <w:pPr>
        <w:pStyle w:val="Heading1"/>
      </w:pPr>
      <w:r>
        <w:t xml:space="preserve">Familjecentral i Kramfors tätort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Kramfors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Kramfors har få samlade stödinsatser för småbarnsföräldrar enligt kommunens egen kartläggning 2025. En familjecentral stärker tidigt föräldrastöd och följer barnkonventionen.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Kramfors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etablera en familjecentral i centrala Kramfors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uppdra åt socialnämnden att samverka med regionen och civilsamhället.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1,2 miljoner kronor för lokaler och personal.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verksamheten efter två år.</w:t>
      </w:r>
    </w:p>
    <w:p>
      <w:pPr>
        <w:spacing w:before="360"/>
      </w:pPr>
    </w:p>
    <w:p>
      <w:r>
        <w:t xml:space="preserve">Kramfors,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Kramfors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2026-07-14T00:29:00.365Z</dcterms:created>
  <dcterms:modified xsi:type="dcterms:W3CDTF">2026-07-14T00:29:00.365Z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