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Härnösand kommunfullmäktige</w:t>
      </w:r>
    </w:p>
    <w:p>
      <w:pPr>
        <w:pStyle w:val="Heading1"/>
      </w:pPr>
      <w:r>
        <w:t xml:space="preserve">Utökat stöd till nattvandring och civilsamhälle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Härnösand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att 23 % av Härnösandsborna känner sig otrygga kvällstid. Nattvandring har visat goda resultat i andra kommuner. KD vill stärka civilsamhällets roll i brottsförebyggande arbete.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Härnösand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250 000 kr årligen till stöd för organiserad nattvandring.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bidraget fördelas via en enkel ansökningsprocess till ideella föreningar.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polisen bjuds in till samordningsmöten två gånger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redovisas i trygghetsrapporten till kommunstyrelsen.</w:t>
      </w:r>
    </w:p>
    <w:p>
      <w:pPr>
        <w:spacing w:before="360"/>
      </w:pPr>
    </w:p>
    <w:p>
      <w:r>
        <w:t xml:space="preserve">Härnösand,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Härnösand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2026-07-14T00:16:19.258Z</dcterms:created>
  <dcterms:modified xsi:type="dcterms:W3CDTF">2026-07-14T00:16:19.258Z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