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Vindeln kommunfullmäktige</w:t>
      </w:r>
    </w:p>
    <w:p>
      <w:pPr>
        <w:pStyle w:val="Heading1"/>
      </w:pPr>
      <w:r>
        <w:t xml:space="preserve">Säkra byskolornas framtid i Vindeln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Vindeln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skolplan 2025 hotar nedläggning av skolor i Åmsele och Granö. Eleverna får längre resor och byarna avfolkas snabbare. Kolada visar att små skolor har god studiero. Källa: Vindeln kommun, skolplan 2025 samt valresultat.svt.se.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Vindeln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uppdra åt barn- och utbildningsnämnden att ta fram en plan för att behålla byskolorna i Åmsele och Granö med minst nuvarande elevantal.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1,5 mnkr årligen i ett särskilt landsbygdstillägg för små 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utreda samverkan med närliggande kommuner för gemensam skolorganisation.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konsekvensanalys för byarnas befolkningsutveckling vid eventuell nedläggning.</w:t>
      </w:r>
    </w:p>
    <w:p>
      <w:pPr>
        <w:spacing w:before="360"/>
      </w:pPr>
    </w:p>
    <w:p>
      <w:r>
        <w:t xml:space="preserve">Vindeln,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Vindeln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2026-07-14T01:51:21.744Z</dcterms:created>
  <dcterms:modified xsi:type="dcterms:W3CDTF">2026-07-14T01:51:21.744Z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