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Robertsfors kommunfullmäktige</w:t>
      </w:r>
    </w:p>
    <w:p>
      <w:pPr>
        <w:pStyle w:val="Heading1"/>
      </w:pPr>
      <w:r>
        <w:t xml:space="preserve">Granska administrativa kostnader för välfärd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Robertsfors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budget 2025 visar ökade administrativa kostnader medan välfärden pressas. KD prioriterar välfärd före symbolpolitik.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Robertsfors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oberoende granskning av administrativa kostnader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resultatet presenteras med förslag på besparingar som går till hemtjänst och skola.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jämförelser görs med liknande kommuner via Kolada.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i budgetberedningen inför 2027.</w:t>
      </w:r>
    </w:p>
    <w:p>
      <w:pPr>
        <w:spacing w:before="360"/>
      </w:pPr>
    </w:p>
    <w:p>
      <w:r>
        <w:t xml:space="preserve">Robertsfors,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Robertsfors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2026-07-14T01:09:42.669Z</dcterms:created>
  <dcterms:modified xsi:type="dcterms:W3CDTF">2026-07-14T01:09:42.669Z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