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Lycksele kommunfullmäktige</w:t>
      </w:r>
    </w:p>
    <w:p>
      <w:pPr>
        <w:pStyle w:val="Heading1"/>
      </w:pPr>
      <w:r>
        <w:t xml:space="preserve">Bevara och utveckla byskolorna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Lycksele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Flera byskolor i Lycksele kommun riskerar nedläggning på grund av elevunderlag. Landsbygdsbor upplever att service försämras. Kommunens befolkningsmål om att behålla invånare på landsbygden hotas.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Lycksele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byskolorna i Lycksele kommun ska bevaras så länge elevantalet överstiger 15.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landsbygdsstrategi med skolfrågan som del tas fram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transportlösningar för elever förbättras.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investeringar i digital utrustning prioriteras för byskolorna.</w:t>
      </w:r>
    </w:p>
    <w:p>
      <w:pPr>
        <w:spacing w:before="360"/>
      </w:pPr>
    </w:p>
    <w:p>
      <w:r>
        <w:t xml:space="preserve">Lycksele,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Lycksele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2026-07-14T00:45:01.782Z</dcterms:created>
  <dcterms:modified xsi:type="dcterms:W3CDTF">2026-07-14T00:45:01.782Z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