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Säffle kommunfullmäktige</w:t>
      </w:r>
    </w:p>
    <w:p>
      <w:pPr>
        <w:pStyle w:val="Heading1"/>
      </w:pPr>
      <w:r>
        <w:t xml:space="preserve">Palliativ vård nära hemmet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Säffle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Många äldre i Säffles landsbygd har lång resväg till palliativ vård. Kommunens omsorgsplan 2023 pekar på behov av bättre hemsjukvård.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Säffle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Säffle kommunfullmäktige beslutar att förstärka den palliativa hemsjukvården med ytterligare två sjukskötersketjänster.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anhörigutbildning i palliativ vård erbjuds årligen.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samverkan med hospice i Arvika utvecklas.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patientnöjdhet mäts kontinuerligt.</w:t>
      </w:r>
    </w:p>
    <w:p>
      <w:pPr>
        <w:spacing w:before="360"/>
      </w:pPr>
    </w:p>
    <w:p>
      <w:r>
        <w:t xml:space="preserve">Säffle,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Säffle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2026-07-14T01:27:46.982Z</dcterms:created>
  <dcterms:modified xsi:type="dcterms:W3CDTF">2026-07-14T01:27:46.982Z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