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Säffle kommunfullmäktige</w:t>
      </w:r>
    </w:p>
    <w:p>
      <w:pPr>
        <w:pStyle w:val="Heading1"/>
      </w:pPr>
      <w:r>
        <w:t xml:space="preserve">Mobilfria skoldagar i Säffle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Säffle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visar att 35 % av eleverna i årskurs 7–9 i Säffle uppger att mobiltelefoner stör undervisningen. Flera skolor i Värmland har infört mobilförbud med goda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Säffle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Säffle kommunfullmäktige beslutar att införa mobilfria skoldagar på alla kommunala grundskolor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får i uppdrag att ta fram gemensamma riktlinjer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personalen erbjuds fortbildning i digitala verktyg och studiero.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elevenkät varje termin.</w:t>
      </w:r>
    </w:p>
    <w:p>
      <w:pPr>
        <w:spacing w:before="360"/>
      </w:pPr>
    </w:p>
    <w:p>
      <w:r>
        <w:t xml:space="preserve">Säffle,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Säffle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2026-07-14T01:27:46.940Z</dcterms:created>
  <dcterms:modified xsi:type="dcterms:W3CDTF">2026-07-14T01:27:46.940Z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