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Kristinehamn kommunfullmäktige</w:t>
      </w:r>
    </w:p>
    <w:p>
      <w:pPr>
        <w:pStyle w:val="Heading1"/>
      </w:pPr>
      <w:r>
        <w:t xml:space="preserve">Granska kommunens externa konsultkostnader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Kristinehamn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Revisionsrapporten 2024 visade att Kristinehamn lagt över 12 miljoner kronor på externa konsulter under tre år. Välfärd ska gå före symbolpolitik enligt KD:s ekonomiska 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Kristinehamn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oberoende granskning av alla konsultavtal över 200 000 kronor under 2024–2026.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redovisa alternativa lösningar med intern kompetens.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ett tak för externa konsultkostnader ska införas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ska behandlas i kommunstyrelsen senast mars 2027.</w:t>
      </w:r>
    </w:p>
    <w:p>
      <w:pPr>
        <w:spacing w:before="360"/>
      </w:pPr>
    </w:p>
    <w:p>
      <w:r>
        <w:t xml:space="preserve">Kristinehamn,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Kristinehamn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2026-07-14T00:29:55.329Z</dcterms:created>
  <dcterms:modified xsi:type="dcterms:W3CDTF">2026-07-14T00:29:55.329Z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