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Grums kommunfullmäktige</w:t>
      </w:r>
    </w:p>
    <w:p>
      <w:pPr>
        <w:pStyle w:val="Heading1"/>
      </w:pPr>
      <w:r>
        <w:t xml:space="preserve">Granska kommunal ekonomi för välfärd före symbolpolitik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Grums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Grums budget 2025 har utrymme för effektivisering. KD vill prioritera kärnverksamhet framför prestigeprojekt enligt ansvarsfull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Grums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redovisa alla projekt över 5 mnkr med nyttoanalys.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frysa nya symbolinvesteringar tills välfärdskvalitet är säkrad.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presentera besparingsförslag som skyddar hemtjänst och skola.</w:t>
      </w:r>
    </w:p>
    <w:p>
      <w:pPr>
        <w:spacing w:before="360"/>
      </w:pPr>
    </w:p>
    <w:p>
      <w:r>
        <w:t xml:space="preserve">Grums,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Grums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2026-07-13T23:59:56.033Z</dcterms:created>
  <dcterms:modified xsi:type="dcterms:W3CDTF">2026-07-13T23:59:56.033Z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