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Grums kommunfullmäktige</w:t>
      </w:r>
    </w:p>
    <w:p>
      <w:pPr>
        <w:pStyle w:val="Heading1"/>
      </w:pPr>
      <w:r>
        <w:t xml:space="preserve">Inrätta familjecentral med föräldrautbildning i Grums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Grums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Grums har få tidiga stödinsatser för familjer. Enligt Region Värmland 2025 saknas samlad familjecentral. Barnkonventionen och KD-prioritering kräver stärkt föräldrautbildning för att förebygga problem. Kolada visar högre andel oroliga föräldrar än länet.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Grums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Grums tätort med föräldrautbildning och öppen förskola.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1,2 mnkr årligen från 2027 för drift av familjecentralen.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samverka med Region Värmland och civilsamhället kring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verksamheten efter två år med fokus på deltagande och effekt.</w:t>
      </w:r>
    </w:p>
    <w:p>
      <w:pPr>
        <w:spacing w:before="360"/>
      </w:pPr>
    </w:p>
    <w:p>
      <w:r>
        <w:t xml:space="preserve">Grums,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Grums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2026-07-13T23:59:55.954Z</dcterms:created>
  <dcterms:modified xsi:type="dcterms:W3CDTF">2026-07-13T23:59:55.954Z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