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Älvkarleby kommunfullmäktige</w:t>
      </w:r>
    </w:p>
    <w:p>
      <w:pPr>
        <w:pStyle w:val="Heading1"/>
      </w:pPr>
      <w:r>
        <w:t xml:space="preserve">Införande av familjecentral i Älvkarleby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Älvkarleby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Älvkarleby saknar samlad familjecentral trots att 22 % av barnen lever i familjer med ekonomiskt bistånd (Kolada 2024). Enligt barnkonventionen och KD:s prioritering behöver föräldrar tidigt stöd för att förebygga utanförskap. Kommunen har endast sporadiska föräldrautbildningar.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Älvkarleby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Älvkarleby tätort med samverkan mellan socialtjänst, BVC och öppen förskola.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 minst 4 gånger per år med start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finansieras inom befintlig budgetram genom omfördelning från administrativa kostnader.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redovisas för kommunfullmäktige senast 2028.</w:t>
      </w:r>
    </w:p>
    <w:p>
      <w:pPr>
        <w:spacing w:before="360"/>
      </w:pPr>
    </w:p>
    <w:p>
      <w:r>
        <w:t xml:space="preserve">Älvkarleby,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Älvkarleby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2026-07-14T02:02:36.177Z</dcterms:created>
  <dcterms:modified xsi:type="dcterms:W3CDTF">2026-07-14T02:02:36.177Z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