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Sollentuna kommunfullmäktige</w:t>
      </w:r>
    </w:p>
    <w:p>
      <w:pPr>
        <w:pStyle w:val="Heading1"/>
      </w:pPr>
      <w:r>
        <w:t xml:space="preserve">Införa mobilfria skoldagar för ökad studiero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Sollentuna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Sollentunas grundskolor har meritvärde 245 (Kolada 2024) men Skolverkets enkät 2025 visar att 42 % av eleverna störs av mobiler dagligen. Studiero och respekt är centrala värden enligt Kristdemokraternas skolpolitik. Liknande åtgärder i grannkommuner har gett positiva resultat.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Sollentuna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mobilfria skoldagar i Sollentunas kommunala grundskolor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utbildningsnämnden får i uppdrag att ta fram riktlinjer för förvaring av mobiltelefoner under skoltid.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lärare och elevhälsa ges fortbildning i digitala hjälpmedel och värdegrundsarbete.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effekterna utvärderas efter ett år och redovisas för kommunfullmäktige.</w:t>
      </w:r>
    </w:p>
    <w:p>
      <w:pPr>
        <w:spacing w:before="360"/>
      </w:pPr>
    </w:p>
    <w:p>
      <w:r>
        <w:t xml:space="preserve">Sollentuna,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Sollentuna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2026-07-14T01:18:32.616Z</dcterms:created>
  <dcterms:modified xsi:type="dcterms:W3CDTF">2026-07-14T01:18:32.616Z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