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Södertälje kommunfullmäktige</w:t>
      </w:r>
    </w:p>
    <w:p>
      <w:pPr>
        <w:pStyle w:val="Heading1"/>
      </w:pPr>
      <w:r>
        <w:t xml:space="preserve">Granska integrationsbudgetens effektivitet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Södertälje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Södertälje kommun avsatte 87 mnkr till integrationsåtgärder 2025. Oberoende granskning saknas. Kristdemokraterna vill säkerställa att medlen ger mätbar effekt i sysselsättning och språkutveckling.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Södertälje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extern granskning av integrationsbudgeten 2025–2026.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omfatta samtliga nämnder och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kommunfullmäktige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rekommendationer ska ligga till grund för budget 2028.</w:t>
      </w:r>
    </w:p>
    <w:p>
      <w:pPr>
        <w:spacing w:before="360"/>
      </w:pPr>
    </w:p>
    <w:p>
      <w:r>
        <w:t xml:space="preserve">Södertälje,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Södertälje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2026-07-14T01:29:58.638Z</dcterms:created>
  <dcterms:modified xsi:type="dcterms:W3CDTF">2026-07-14T01:29:58.638Z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