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Lidingö kommunfullmäktige</w:t>
      </w:r>
    </w:p>
    <w:p>
      <w:pPr>
        <w:pStyle w:val="Heading1"/>
      </w:pPr>
      <w:r>
        <w:t xml:space="preserve">Granska välfärdsslöseri och effektivisera budget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Lidingö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Lidingö har god ekonomi men behöver prioritera välfärd framför symbolprojekt. En oberoende granskning kan identifiera besparingar.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Lidingö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administrativa 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redovisa alla projekt över 5 miljoner kronor med kostnads-nyttoanalys.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välfärdsinsatser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presentera en slöserirapport för fullmäktige.</w:t>
      </w:r>
    </w:p>
    <w:p>
      <w:pPr>
        <w:spacing w:before="360"/>
      </w:pPr>
    </w:p>
    <w:p>
      <w:r>
        <w:t xml:space="preserve">Lidingö,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Lidingö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2026-07-14T00:38:38.437Z</dcterms:created>
  <dcterms:modified xsi:type="dcterms:W3CDTF">2026-07-14T00:38:38.437Z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