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Järfälla kommunfullmäktige</w:t>
      </w:r>
    </w:p>
    <w:p>
      <w:pPr>
        <w:pStyle w:val="Heading1"/>
      </w:pPr>
      <w:r>
        <w:t xml:space="preserve">Granska kommunens ekonomiska prioriteringar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Järfälla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Järfälla har stora investeringar i infrastruktur samtidigt som välfärden behöver förstärkning. Kristdemokraterna vill säkerställa att skattepengar går till kärnverksamhet snarare än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Järfälla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tillsätter en oberoende granskning av kommunens investeringar 2023–2025.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ska särskilt belysa kostnader för symbolprojekt kontra välfärdssatsningar.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ska presenteras för kommunfullmäktige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besparingar ska återföras till skola och omsorg.</w:t>
      </w:r>
    </w:p>
    <w:p>
      <w:pPr>
        <w:spacing w:before="360"/>
      </w:pPr>
    </w:p>
    <w:p>
      <w:r>
        <w:t xml:space="preserve">Järfälla,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Järfälla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2026-07-14T00:20:58.813Z</dcterms:created>
  <dcterms:modified xsi:type="dcterms:W3CDTF">2026-07-14T00:20:58.813Z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