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Danderyd kommunfullmäktige</w:t>
      </w:r>
    </w:p>
    <w:p>
      <w:pPr>
        <w:pStyle w:val="Heading1"/>
      </w:pPr>
      <w:r>
        <w:t xml:space="preserve">Etablera familjecentral i norra Danderyd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Danderyd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Danderyd saknar familjecentral norr om E18 trots att många barnfamiljer bor i områden som Enebyberg och Stocksund. Enligt barnkonventionen och kommunens familjepolicy behövs tidigt föräldrastöd.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Danderyd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etablera en familjecentral i norra Danderyd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socialnämnden och utbildningsnämnden gemensamt tar fram verksamhetsplan och lokaler.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inkluderar öppen förskola, föräldrautbildning och rådgivning.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finansiering sker inom befintlig budgetram med eventuellt externt stöd från regionen.</w:t>
      </w:r>
    </w:p>
    <w:p>
      <w:pPr>
        <w:spacing w:before="360"/>
      </w:pPr>
    </w:p>
    <w:p>
      <w:r>
        <w:t xml:space="preserve">Danderyd,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Danderyd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2026-07-13T23:46:15.139Z</dcterms:created>
  <dcterms:modified xsi:type="dcterms:W3CDTF">2026-07-13T23:46:15.139Z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