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Vingåker kommunfullmäktige</w:t>
      </w:r>
    </w:p>
    <w:p>
      <w:pPr>
        <w:pStyle w:val="Heading1"/>
      </w:pPr>
      <w:r>
        <w:t xml:space="preserve">Förbättra palliativ vård i Vingåker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Vingåker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Vingåker saknar tillräcklig palliativ kompetens enligt Region Sörmlands översyn 2024. Invånare önskar värdig vård i livets slutskede nära hemmet.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Vingåker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inrätta en palliativ resursgrupp inom hemsjukvården.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erbjuda utbildning till personal i symtomlindring och anhörigstöd.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säkerställa tillgång till dödsboende vid behov.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redovisa resultat i vårdkvalitetsrapporten 2028.</w:t>
      </w:r>
    </w:p>
    <w:p>
      <w:pPr>
        <w:spacing w:before="360"/>
      </w:pPr>
    </w:p>
    <w:p>
      <w:r>
        <w:t xml:space="preserve">Vingåker,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Vingåker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2026-07-14T01:51:46.174Z</dcterms:created>
  <dcterms:modified xsi:type="dcterms:W3CDTF">2026-07-14T01:51:46.174Z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