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Oxelösund kommunfullmäktige</w:t>
      </w:r>
    </w:p>
    <w:p>
      <w:pPr>
        <w:pStyle w:val="Heading1"/>
      </w:pPr>
      <w:r>
        <w:t xml:space="preserve">Stärk språk- och arbetsintegrering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Oxelösund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är 18 % högre än genomsnittet (Arbetsförmedlingen 2025). Språkträning kopplat till arbete ger bättre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Oxelösund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kombinerad SFI och praktikplats inom 90 dagar för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sker med SSAB och hamnen för praktikplatser.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mäts i antalet som går till egen försörjning.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insatsen redovisas årligen i kommunstyrelsen.</w:t>
      </w:r>
    </w:p>
    <w:p>
      <w:pPr>
        <w:spacing w:before="360"/>
      </w:pPr>
    </w:p>
    <w:p>
      <w:r>
        <w:t xml:space="preserve">Oxelösund,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Oxelösund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2026-07-14T01:06:29.798Z</dcterms:created>
  <dcterms:modified xsi:type="dcterms:W3CDTF">2026-07-14T01:06:29.798Z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