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Gnesta kommunfullmäktige</w:t>
      </w:r>
    </w:p>
    <w:p>
      <w:pPr>
        <w:pStyle w:val="Heading1"/>
      </w:pPr>
      <w:r>
        <w:t xml:space="preserve">Införa mobilfria skoldagar i Gnesta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Gnesta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Gnesta kommuns skolor har lägre meritvärden än rikssnittet enligt Kolada 2024. Studier från Skolverket visar att mobilanvändning stör studieron. Elever i årskurs 7–9 rapporterar koncentrationssvårigheter. En mobilfri skoldag kan förbättra kunskapsresultat och värdegrund.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Gnesta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på alla kommunala grundskolor från och med läsåret 2027/2028.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utbildningsnämnden får i uppdrag att ta fram riktlinjer för mobilförvaring och undantag vid särskilda behov.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rektorerna ges ansvar för uppföljning och årlig rapportering till utbildningsnämnden.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kostnader för eventuella skåp eller tekniska lösningar finansieras inom befintlig budget.</w:t>
      </w:r>
    </w:p>
    <w:p>
      <w:pPr>
        <w:spacing w:before="360"/>
      </w:pPr>
    </w:p>
    <w:p>
      <w:r>
        <w:t xml:space="preserve">Gnesta,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Gnesta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2026-07-13T23:58:14.262Z</dcterms:created>
  <dcterms:modified xsi:type="dcterms:W3CDTF">2026-07-13T23:58:14.262Z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