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Eskilstuna kommunfullmäktige</w:t>
      </w:r>
    </w:p>
    <w:p>
      <w:pPr>
        <w:pStyle w:val="Heading1"/>
      </w:pPr>
      <w:r>
        <w:t xml:space="preserve">Införa språk- och arbetskrav vid försörjningsstöd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Eskilstuna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Eskilstuna har en hög andel försörjningsstödstagare med utländsk bakgrund (kommunens integrationsrapport 2025). Språk och arbete är nycklar till integration och egen försörjning enligt KD:s princip om ansvar.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Eskilstuna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krav på SFI-studier och arbetsmarknadsinsatser för att erhålla försörjningsstöd.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undantag endast ska medges vid dokumenterad sjukdom eller föräldraledighet.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uppföljning ska ske var tredje månad.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resultaten redovisas i socialnämndens verksamhetsberättelse.</w:t>
      </w:r>
    </w:p>
    <w:p>
      <w:pPr>
        <w:spacing w:before="360"/>
      </w:pPr>
    </w:p>
    <w:p>
      <w:r>
        <w:t xml:space="preserve">Eskilstuna,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Eskilstuna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2026-07-13T23:50:49.666Z</dcterms:created>
  <dcterms:modified xsi:type="dcterms:W3CDTF">2026-07-13T23:50:49.666Z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