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Vellinge kommunfullmäktige</w:t>
      </w:r>
    </w:p>
    <w:p>
      <w:pPr>
        <w:pStyle w:val="Heading1"/>
      </w:pPr>
      <w:r>
        <w:t xml:space="preserve">Förbättrad service och vägar på Vellinges landsbygd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Vellinge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Trafikverket 2025 pekar på behov av bättre underhåll på mindre vägar i Skanör och Falsterboområdet. Landsbygden är viktig för Vellinges identitet och företagande. KD vill säkerställa likvärdig service oavsett var man bor.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Vellinge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prioritera underhåll av grusvägar och gång- och cykelvägar på landsbygden i budget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införa flexibla turer för färdtjänst och skolskjuts som bättre anpassas till landsbygdsboende.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utreda möjlighet till mindre servicepunkter i Skanör och Höllviken.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redovisa landsbygdsinsatser årligen till kommunstyrelsen.</w:t>
      </w:r>
    </w:p>
    <w:p>
      <w:pPr>
        <w:spacing w:before="360"/>
      </w:pPr>
    </w:p>
    <w:p>
      <w:r>
        <w:t xml:space="preserve">Vellinge,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Vellinge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2026-07-14T01:49:33.474Z</dcterms:created>
  <dcterms:modified xsi:type="dcterms:W3CDTF">2026-07-14T01:49:33.474Z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