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Vellinge kommunfullmäktige</w:t>
      </w:r>
    </w:p>
    <w:p>
      <w:pPr>
        <w:pStyle w:val="Heading1"/>
      </w:pPr>
      <w:r>
        <w:t xml:space="preserve">Stärkt elevhälsa och ungdomsmottagning i Vellinge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Vellinge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Skåne rapporterar längre köer till ungdomsmottagningar 2025. Psykisk ohälsa bland unga ökar även i Vellinge. KD vill prioritera tidiga insatser för att förebygga allvarligare problem.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Vellinge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skolsköterske- och kuratorstid med 20 procent.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inrätta en kommunal ungdomsmottagning i samverkan med Region Skåne senast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erbjuda regelbundna hälsosamtal i årskurs 7–9 med fokus på psykisk hälsa.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avsätta 2 mnkr årligen för utökad elevhälsa från 2027.</w:t>
      </w:r>
    </w:p>
    <w:p>
      <w:pPr>
        <w:spacing w:before="360"/>
      </w:pPr>
    </w:p>
    <w:p>
      <w:r>
        <w:t xml:space="preserve">Vellinge,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Vellinge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2026-07-14T01:49:33.458Z</dcterms:created>
  <dcterms:modified xsi:type="dcterms:W3CDTF">2026-07-14T01:49:33.458Z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