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Svalöv kommunfullmäktige</w:t>
      </w:r>
    </w:p>
    <w:p>
      <w:pPr>
        <w:pStyle w:val="Heading1"/>
      </w:pPr>
      <w:r>
        <w:t xml:space="preserve">Inrätta familjecentral i Svalöv tätort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Svalöv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Svalöv saknar samlad familjecentral trots att 22 % av barnen lever i familjer med ekonomiskt bistånd (Kolada 2024). Tidigt föräldrastöd enligt barnkonventionen minskar senare insatser. Kommunen har ingen samordnad verksamhet för blivande och nyblivna föräldrar.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Svalöv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Svalöv kommunfullmäktige beslutar att inrätta en familjecentral i Svalöv med samlad verksamhet för mödravård, barnhälsovård och föräldrautbildning.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vara öppen senast 2027-12-31.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utformas i samverkan med Region Skåne och civilsamhället.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kostnaderna finansieras inom befintlig budgetram genom omfördelning från befintliga insatser.</w:t>
      </w:r>
    </w:p>
    <w:p>
      <w:pPr>
        <w:spacing w:before="360"/>
      </w:pPr>
    </w:p>
    <w:p>
      <w:r>
        <w:t xml:space="preserve">Svalöv,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Svalöv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2026-07-14T01:26:23.735Z</dcterms:created>
  <dcterms:modified xsi:type="dcterms:W3CDTF">2026-07-14T01:26:23.735Z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