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Simrishamn kommunfullmäktige</w:t>
      </w:r>
    </w:p>
    <w:p>
      <w:pPr>
        <w:pStyle w:val="Heading1"/>
      </w:pPr>
      <w:r>
        <w:t xml:space="preserve">Oberoende granskning av kommunens ekonomiska prioriteringar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Simrishamn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Kommunens budget 2025–2027 visar ökade kostnader för administration och symbolprojekt medan välfärden pressas. Kristdemokraterna vill säkerställa att skattepengarna går till kärnverksamhet som skola, vård och omsorg.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Simrishamn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tillsätta en oberoende granskning av kommunens utgifter 2023–2025.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granskningen ska fokusera på administrativa kostnader och jämföra med liknande kommuner.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resultatet ska presenteras för fullmäktige senast mars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granskningen ska ligga till grund för budgetarbetet 2028.</w:t>
      </w:r>
    </w:p>
    <w:p>
      <w:pPr>
        <w:spacing w:before="360"/>
      </w:pPr>
    </w:p>
    <w:p>
      <w:r>
        <w:t xml:space="preserve">Simrishamn,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Simrishamn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2026-07-14T01:13:48.697Z</dcterms:created>
  <dcterms:modified xsi:type="dcterms:W3CDTF">2026-07-14T01:13:48.697Z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