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Perstorp kommunfullmäktige</w:t>
      </w:r>
    </w:p>
    <w:p>
      <w:pPr>
        <w:pStyle w:val="Heading1"/>
      </w:pPr>
      <w:r>
        <w:t xml:space="preserve">Stärka språk- och arbetsintegrering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Perstorp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siffror visar hög arbetslöshet bland utrikes födda i Perstorp. Språk och arbete är nycklar till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Perstorp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språkundervisning kopplad till praktikplatser.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utökas för arbetsnära insatser.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civilsamhällets insatser för språkcaféer ges ekonomiskt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årlig integrationsrapport.</w:t>
      </w:r>
    </w:p>
    <w:p>
      <w:pPr>
        <w:spacing w:before="360"/>
      </w:pPr>
    </w:p>
    <w:p>
      <w:r>
        <w:t xml:space="preserve">Perstorp,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Perstorp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2026-07-14T01:08:13.703Z</dcterms:created>
  <dcterms:modified xsi:type="dcterms:W3CDTF">2026-07-14T01:08:13.703Z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